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F4E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FE4312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097584">
        <w:rPr>
          <w:rFonts w:ascii="Times New Roman" w:hAnsi="Times New Roman" w:cs="Times New Roman"/>
          <w:lang w:val="sr-Latn-RS"/>
        </w:rPr>
        <w:t>Prema Regulativi (EC) br. 1907/2006)</w:t>
      </w:r>
      <w:r w:rsidRPr="00FE4312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DE3458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DE3458">
        <w:rPr>
          <w:rFonts w:ascii="Times New Roman" w:hAnsi="Times New Roman" w:cs="Times New Roman"/>
          <w:lang w:val="sr-Latn-CS"/>
        </w:rPr>
        <w:t xml:space="preserve">  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097584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C-EC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DE3458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DE345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E345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E345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DE3458" w:rsidRDefault="00A3582C" w:rsidP="00DE34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DE3458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DE3458">
              <w:rPr>
                <w:rFonts w:ascii="Times New Roman" w:eastAsia="Times New Roman" w:hAnsi="Times New Roman" w:cs="Times New Roman"/>
              </w:rPr>
              <w:t xml:space="preserve"> </w:t>
            </w:r>
            <w:r w:rsidR="00DE3458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DE3458">
              <w:rPr>
                <w:rFonts w:ascii="Times New Roman" w:eastAsia="Times New Roman" w:hAnsi="Times New Roman" w:cs="Times New Roman"/>
              </w:rPr>
              <w:t>atovljev</w:t>
            </w:r>
            <w:r w:rsidR="00DE3458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DE3458" w:rsidP="00DE345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F4E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1349"/>
        <w:gridCol w:w="1263"/>
        <w:gridCol w:w="1591"/>
        <w:gridCol w:w="1650"/>
        <w:gridCol w:w="2532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446FC">
        <w:trPr>
          <w:trHeight w:val="665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097584" w:rsidRDefault="00097584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97584" w:rsidRPr="00097584" w:rsidRDefault="00097584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282AEC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8446FC">
        <w:trPr>
          <w:trHeight w:val="70"/>
          <w:jc w:val="center"/>
        </w:trPr>
        <w:tc>
          <w:tcPr>
            <w:tcW w:w="523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577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8446FC">
        <w:trPr>
          <w:trHeight w:val="80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8446FC">
        <w:trPr>
          <w:trHeight w:val="80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577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097584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446FC">
        <w:trPr>
          <w:trHeight w:val="70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446FC">
        <w:trPr>
          <w:trHeight w:val="80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446FC">
        <w:trPr>
          <w:trHeight w:val="80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577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446FC">
        <w:trPr>
          <w:trHeight w:val="70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446FC">
        <w:trPr>
          <w:trHeight w:val="80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577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446FC">
        <w:trPr>
          <w:trHeight w:val="80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446FC">
        <w:trPr>
          <w:trHeight w:val="198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577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446FC">
        <w:trPr>
          <w:trHeight w:val="80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577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282AEC" w:rsidP="00A86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="008B2A29"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097584"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="008B2A29"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="008B2A29"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="008B2A29"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  <w:p w:rsidR="00097584" w:rsidRPr="00A4469C" w:rsidRDefault="00097584" w:rsidP="00A862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</w:t>
            </w:r>
          </w:p>
        </w:tc>
      </w:tr>
      <w:tr w:rsidR="00282AEC" w:rsidTr="001217D2">
        <w:trPr>
          <w:trHeight w:val="50"/>
          <w:jc w:val="center"/>
        </w:trPr>
        <w:tc>
          <w:tcPr>
            <w:tcW w:w="26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097584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</w:t>
            </w:r>
            <w:r w:rsidR="00282AEC">
              <w:rPr>
                <w:rFonts w:ascii="Times-New-Roman" w:hAnsi="Times-New-Roman" w:cs="Times-New-Roman"/>
                <w:b/>
              </w:rPr>
              <w:t xml:space="preserve"> komponente</w:t>
            </w: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59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532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282AEC" w:rsidTr="00A862CD">
        <w:trPr>
          <w:trHeight w:val="70"/>
          <w:jc w:val="center"/>
        </w:trPr>
        <w:tc>
          <w:tcPr>
            <w:tcW w:w="26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A4469C" w:rsidRDefault="00097584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Askorbinska kiselina (vitamin C)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9359FB" w:rsidRDefault="00097584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50-81-7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9359FB" w:rsidRDefault="00097584" w:rsidP="0009758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200-066-2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831D13" w:rsidRDefault="00282AEC" w:rsidP="0028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831D13" w:rsidRDefault="00282AEC" w:rsidP="0028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82AEC" w:rsidRPr="00831D13" w:rsidRDefault="00282AEC" w:rsidP="000975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097584">
              <w:rPr>
                <w:rFonts w:ascii="Times New Roman" w:hAnsi="Times New Roman" w:cs="Times New Roman"/>
                <w:lang w:val="de-DE"/>
              </w:rPr>
              <w:t>97,5</w:t>
            </w:r>
          </w:p>
        </w:tc>
      </w:tr>
      <w:tr w:rsidR="00351E80" w:rsidTr="009F787D">
        <w:trPr>
          <w:trHeight w:val="70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1E80" w:rsidRDefault="002F2A58" w:rsidP="002F2A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Klasifika</w:t>
            </w:r>
            <w:r>
              <w:rPr>
                <w:rFonts w:ascii="Times New Roman" w:hAnsi="Times New Roman" w:cs="Times New Roman"/>
                <w:lang w:val="sr-Latn-RS"/>
              </w:rPr>
              <w:t>cija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proizvoda ( „Sl.glasnik RS“ br.59/10 i 25/11)</w:t>
            </w:r>
          </w:p>
          <w:p w:rsidR="002F2A58" w:rsidRPr="002F2A58" w:rsidRDefault="002F2A58" w:rsidP="00A86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Klasifika</w:t>
            </w:r>
            <w:r>
              <w:rPr>
                <w:rFonts w:ascii="Times New Roman" w:hAnsi="Times New Roman" w:cs="Times New Roman"/>
                <w:lang w:val="sr-Latn-RS"/>
              </w:rPr>
              <w:t>cija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>u skladu sa Pravilnikom o klasifikaciji,</w:t>
            </w:r>
            <w:r w:rsidR="008446F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pakovanju,</w:t>
            </w:r>
            <w:r w:rsidR="008446F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obeležavanju i oglašavanju hemikalija i određenog proiz</w:t>
            </w:r>
            <w:r w:rsidR="00A862CD">
              <w:rPr>
                <w:rFonts w:ascii="Times New Roman" w:hAnsi="Times New Roman" w:cs="Times New Roman"/>
                <w:lang w:val="sr-Latn-RS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voda</w:t>
            </w:r>
            <w:r w:rsidR="00A862C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u skladu sa Globalno h</w:t>
            </w:r>
            <w:r w:rsidR="00A862CD"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lang w:val="sr-Latn-RS"/>
              </w:rPr>
              <w:t>rmonizovanim sistemom za klasi</w:t>
            </w:r>
            <w:r w:rsidR="00A862CD">
              <w:rPr>
                <w:rFonts w:ascii="Times New Roman" w:hAnsi="Times New Roman" w:cs="Times New Roman"/>
                <w:lang w:val="sr-Latn-RS"/>
              </w:rPr>
              <w:t>fikaciju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A862CD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 obeležavanje UN</w:t>
            </w:r>
            <w:r w:rsidR="008446F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(</w:t>
            </w:r>
            <w:r w:rsidR="008446F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„Sl.glasnik RS“br.64/10 i 26/11</w:t>
            </w:r>
            <w:r w:rsidR="00A862CD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351E80" w:rsidTr="008558C9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1E80" w:rsidRPr="00074FD9" w:rsidRDefault="00351E80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351E80" w:rsidTr="008446FC">
        <w:trPr>
          <w:trHeight w:val="70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51E80" w:rsidRPr="00A4469C" w:rsidRDefault="00351E8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51E80" w:rsidRPr="00A4469C" w:rsidRDefault="006F5E0F" w:rsidP="006F5E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spada u klasu opasnosti koja zahteva posebne mere za pružanje prve pomoći.</w:t>
            </w:r>
            <w:r w:rsidR="00351E80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351E80" w:rsidTr="008446FC">
        <w:trPr>
          <w:trHeight w:val="465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1E80" w:rsidRPr="00A4469C" w:rsidRDefault="00351E80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351E80" w:rsidTr="008446FC">
        <w:trPr>
          <w:trHeight w:val="465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1E80" w:rsidRPr="00A4469C" w:rsidRDefault="00351E80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351E80" w:rsidTr="008446FC">
        <w:trPr>
          <w:trHeight w:val="465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577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1E80" w:rsidRPr="00A4469C" w:rsidRDefault="00351E80" w:rsidP="00A862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Radi predostrožnosti isprati oko vodom. Ukloniti kontaktna sočiva. Zaštiti nepovređeno oko. Držati oko širom otvoreno u toku ispiranja. </w:t>
            </w:r>
          </w:p>
        </w:tc>
      </w:tr>
      <w:tr w:rsidR="00351E80" w:rsidTr="008446FC">
        <w:trPr>
          <w:trHeight w:val="198"/>
          <w:jc w:val="center"/>
        </w:trPr>
        <w:tc>
          <w:tcPr>
            <w:tcW w:w="52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5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1E80" w:rsidRPr="00A4469C" w:rsidRDefault="00351E80" w:rsidP="00A862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</w:t>
            </w:r>
            <w:r w:rsidR="00A862CD">
              <w:rPr>
                <w:rFonts w:ascii="Times-New-Roman" w:hAnsi="Times-New-Roman" w:cs="Times-New-Roman"/>
              </w:rPr>
              <w:t>ć</w:t>
            </w:r>
            <w:r>
              <w:rPr>
                <w:rFonts w:ascii="Times-New-Roman" w:hAnsi="Times-New-Roman" w:cs="Times-New-Roman"/>
              </w:rPr>
              <w:t xml:space="preserve">a. Nikada ne stavljati ništa u usta onesvešćenoj osobi. </w:t>
            </w:r>
          </w:p>
        </w:tc>
      </w:tr>
      <w:tr w:rsidR="00351E80" w:rsidTr="008446FC">
        <w:trPr>
          <w:trHeight w:val="465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80" w:rsidRPr="00A4469C" w:rsidRDefault="00351E80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1E80" w:rsidRPr="00A4469C" w:rsidRDefault="00351E8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51E80" w:rsidTr="008446FC">
        <w:trPr>
          <w:trHeight w:val="70"/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51E80" w:rsidRPr="00A4469C" w:rsidRDefault="00351E80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1E80" w:rsidRPr="00A4469C" w:rsidRDefault="00351E80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282AEC"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® </w:t>
      </w:r>
      <w:r w:rsidR="00097584">
        <w:rPr>
          <w:rFonts w:ascii="Times New Roman" w:hAnsi="Times New Roman" w:cs="Times New Roman"/>
          <w:i/>
          <w:sz w:val="20"/>
          <w:szCs w:val="20"/>
          <w:lang w:val="sr-Latn-RS"/>
        </w:rPr>
        <w:t>C-EC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D7EC8" w:rsidRPr="002C21D4" w:rsidRDefault="00AD7EC8" w:rsidP="00AD7E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E345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097584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="00DE3458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8B2A29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D7EC8" w:rsidRDefault="00AD7EC8" w:rsidP="00AD7E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FF4E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6F5E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844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844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Počistiti</w:t>
            </w:r>
            <w:r w:rsidR="008446FC" w:rsidRPr="00A4469C">
              <w:rPr>
                <w:rFonts w:ascii="Times-New-Roman" w:hAnsi="Times-New-Roman" w:cs="Times-New-Roman"/>
              </w:rPr>
              <w:t xml:space="preserve"> pros</w:t>
            </w:r>
            <w:r w:rsidR="008446FC">
              <w:rPr>
                <w:rFonts w:ascii="Times-New-Roman" w:hAnsi="Times-New-Roman" w:cs="Times-New-Roman"/>
              </w:rPr>
              <w:t>uti</w:t>
            </w:r>
            <w:r w:rsidR="008446FC" w:rsidRPr="00A4469C">
              <w:rPr>
                <w:rFonts w:ascii="Times-New-Roman" w:hAnsi="Times-New-Roman" w:cs="Times-New-Roman"/>
              </w:rPr>
              <w:t xml:space="preserve"> </w:t>
            </w:r>
            <w:r w:rsidR="008446FC">
              <w:rPr>
                <w:rFonts w:ascii="Times-New-Roman" w:hAnsi="Times-New-Roman" w:cs="Times-New-Roman"/>
              </w:rPr>
              <w:t>materijal</w:t>
            </w:r>
            <w:r>
              <w:rPr>
                <w:rFonts w:ascii="Times-New-Roman" w:hAnsi="Times-New-Roman" w:cs="Times-New-Roman"/>
              </w:rPr>
              <w:t>.</w:t>
            </w:r>
            <w:r w:rsidR="008446FC">
              <w:rPr>
                <w:rFonts w:ascii="Times-New-Roman" w:hAnsi="Times-New-Roman" w:cs="Times-New-Roman"/>
              </w:rPr>
              <w:t xml:space="preserve"> Ostatke isprati vodom.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844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 </w:t>
            </w:r>
            <w:r w:rsidR="008446FC">
              <w:rPr>
                <w:rFonts w:ascii="Times-New-Roman" w:hAnsi="Times-New-Roman" w:cs="Times-New-Roman"/>
              </w:rPr>
              <w:t>Nikakve posebne mere opreza nisu pr</w:t>
            </w:r>
            <w:r w:rsidR="008E5FE5">
              <w:rPr>
                <w:rFonts w:ascii="Times-New-Roman" w:hAnsi="Times-New-Roman" w:cs="Times-New-Roman"/>
              </w:rPr>
              <w:t>o</w:t>
            </w:r>
            <w:r w:rsidR="008446FC">
              <w:rPr>
                <w:rFonts w:ascii="Times-New-Roman" w:hAnsi="Times-New-Roman" w:cs="Times-New-Roman"/>
              </w:rPr>
              <w:t>pisane.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A047EF">
              <w:rPr>
                <w:rFonts w:ascii="Times-New-Roman" w:hAnsi="Times-New-Roman" w:cs="Times-New-Roman"/>
              </w:rPr>
              <w:t>statičkog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6F5E0F" w:rsidP="006F5E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vlage.</w:t>
            </w: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855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>&lt; 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8446FC">
              <w:rPr>
                <w:rFonts w:ascii="Times-New-Roman,Bold" w:hAnsi="Times-New-Roman,Bold" w:cs="Times-New-Roman,Bold"/>
                <w:bCs/>
              </w:rPr>
              <w:t>Ne dolazi do raspada ukoliko se skladišti i rukuje kako je propisano.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8446FC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8446F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EC2B94" w:rsidTr="008446FC">
        <w:trPr>
          <w:trHeight w:val="15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2B94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6F5E0F" w:rsidRPr="006F5E0F" w:rsidRDefault="006F5E0F" w:rsidP="006F5E0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6F5E0F">
              <w:rPr>
                <w:rFonts w:ascii="Times-New-Roman,Bold" w:hAnsi="Times-New-Roman,Bold" w:cs="Times-New-Roman,Bold"/>
                <w:bCs/>
              </w:rPr>
              <w:t>Ne sadrži supstance za koje je propisana granica izloženosti.</w:t>
            </w:r>
          </w:p>
        </w:tc>
      </w:tr>
    </w:tbl>
    <w:p w:rsidR="008446FC" w:rsidRPr="002C21D4" w:rsidRDefault="008446FC" w:rsidP="008446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C-EC)</w:t>
      </w:r>
    </w:p>
    <w:p w:rsidR="00DE3458" w:rsidRPr="002C21D4" w:rsidRDefault="00DE3458" w:rsidP="00DE345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446FC" w:rsidRDefault="008446FC" w:rsidP="008446F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4C7BA4" w:rsidTr="008446FC">
        <w:trPr>
          <w:trHeight w:val="70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Mere upravljanja rizikom: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CD1990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446FC" w:rsidP="00844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Zaštita organa za disanje pri normalnim uslovima rada nije neophodna. </w:t>
            </w:r>
            <w:r w:rsidR="004C7BA4"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0912B6">
              <w:rPr>
                <w:rFonts w:ascii="Times-New-Roman" w:hAnsi="Times-New-Roman" w:cs="Times-New-Roman"/>
                <w:lang w:val="de-DE"/>
              </w:rPr>
              <w:t>velike koncentracije</w:t>
            </w:r>
            <w:r w:rsidR="004C7BA4">
              <w:rPr>
                <w:rFonts w:ascii="Times-New-Roman" w:hAnsi="Times-New-Roman" w:cs="Times-New-Roman"/>
                <w:lang w:val="de-DE"/>
              </w:rPr>
              <w:t xml:space="preserve"> prašine koristiti </w:t>
            </w:r>
            <w:r>
              <w:rPr>
                <w:rFonts w:ascii="Times-New-Roman" w:hAnsi="Times-New-Roman" w:cs="Times-New-Roman"/>
                <w:lang w:val="de-DE"/>
              </w:rPr>
              <w:t xml:space="preserve">masku primenjivu </w:t>
            </w:r>
            <w:r w:rsidR="000912B6">
              <w:rPr>
                <w:rFonts w:ascii="Times-New-Roman" w:hAnsi="Times-New-Roman" w:cs="Times-New-Roman"/>
                <w:lang w:val="de-DE"/>
              </w:rPr>
              <w:t xml:space="preserve">u datim uslovima. </w:t>
            </w:r>
          </w:p>
        </w:tc>
      </w:tr>
      <w:tr w:rsidR="004C7BA4" w:rsidTr="008446FC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8446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844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 </w:t>
            </w:r>
          </w:p>
        </w:tc>
      </w:tr>
      <w:tr w:rsidR="004C7BA4" w:rsidTr="000912B6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844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9C50E8" w:rsidTr="00A644EC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A644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8446FC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844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Upravljati se u skladu sa principima održavanja higijene i primene bezbednosnih mera na radnom mestu. 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F2170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0912B6"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EC2B94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8446FC" w:rsidP="008446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Bela-svetlo žuta</w:t>
            </w:r>
            <w:proofErr w:type="gramStart"/>
            <w:r>
              <w:rPr>
                <w:rFonts w:ascii="Times-New-Roman" w:hAnsi="Times-New-Roman" w:cs="Times-New-Roman"/>
              </w:rPr>
              <w:t>.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  <w:proofErr w:type="gramEnd"/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</w:t>
            </w:r>
            <w:r w:rsidR="00CD1990">
              <w:rPr>
                <w:rFonts w:ascii="Times-New-Roman" w:hAnsi="Times-New-Roman" w:cs="Times-New-Roman"/>
              </w:rPr>
              <w:t>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8446F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A644E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644E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912B6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644EC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Delimično </w:t>
            </w:r>
            <w:r w:rsidR="000912B6">
              <w:rPr>
                <w:rFonts w:ascii="Times-New-Roman" w:hAnsi="Times-New-Roman" w:cs="Times-New-Roman"/>
                <w:lang w:val="de-DE"/>
              </w:rPr>
              <w:t>rastvoran proizvod</w:t>
            </w:r>
            <w:r w:rsidR="0028690C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A644EC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E345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A644EC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2170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F21701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A644E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644EC" w:rsidRPr="002C21D4" w:rsidRDefault="00A644EC" w:rsidP="00A64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C-EC)</w:t>
      </w:r>
    </w:p>
    <w:p w:rsidR="00DE3458" w:rsidRPr="002C21D4" w:rsidRDefault="00DE3458" w:rsidP="00DE345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644EC" w:rsidRDefault="00A644EC" w:rsidP="00A644E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F92024" w:rsidTr="00A644EC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- Provodljivost: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A644E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0912B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7106DC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 w:rsidR="000912B6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0912B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A644EC" w:rsidP="00A644E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Baze. </w:t>
            </w:r>
            <w:r w:rsidR="0095276B">
              <w:rPr>
                <w:rFonts w:ascii="Times-New-Roman,Bold" w:hAnsi="Times-New-Roman,Bold" w:cs="Times-New-Roman,Bold"/>
                <w:bCs/>
                <w:lang w:val="de-DE"/>
              </w:rPr>
              <w:t xml:space="preserve">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F44D19" w:rsidP="007106DC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E68A5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644EC" w:rsidRDefault="00F44D19" w:rsidP="00A644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</w:t>
            </w:r>
            <w:r w:rsidR="00010A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000 mg/kg (pacov)</w:t>
            </w:r>
            <w:r w:rsidR="00010AF9">
              <w:rPr>
                <w:rFonts w:ascii="Times New Roman" w:hAnsi="Times New Roman" w:cs="Times New Roman"/>
              </w:rPr>
              <w:t xml:space="preserve"> </w:t>
            </w:r>
          </w:p>
          <w:p w:rsidR="00010AF9" w:rsidRPr="005252C9" w:rsidRDefault="00A644EC" w:rsidP="00A644E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(izračunata vrednost iz LD50 komponenti)</w:t>
            </w:r>
          </w:p>
        </w:tc>
      </w:tr>
      <w:tr w:rsidR="005252C9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41337C">
        <w:trPr>
          <w:trHeight w:val="16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7A1B5A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A644EC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Iritacija kože pri dužem kontaktu sa proizvodom.</w:t>
            </w:r>
          </w:p>
        </w:tc>
      </w:tr>
      <w:tr w:rsidR="005252C9" w:rsidTr="007A1B5A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A644EC" w:rsidP="00A644E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kontaktu sa prašinom može doći do mehaničke iritacije oka.</w:t>
            </w:r>
          </w:p>
        </w:tc>
      </w:tr>
      <w:tr w:rsidR="005252C9" w:rsidTr="007A1B5A">
        <w:trPr>
          <w:trHeight w:val="36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010AF9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F21701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010AF9" w:rsidP="00A644E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Nije izazvao senzibilizaciju kože (zamorci, </w:t>
            </w:r>
            <w:r w:rsidR="00A644EC">
              <w:rPr>
                <w:rFonts w:ascii="Times-New-Roman" w:hAnsi="Times-New-Roman" w:cs="Times-New-Roman"/>
              </w:rPr>
              <w:t xml:space="preserve">Optimizacioni </w:t>
            </w:r>
            <w:proofErr w:type="gramStart"/>
            <w:r w:rsidR="00A644EC">
              <w:rPr>
                <w:rFonts w:ascii="Times-New-Roman" w:hAnsi="Times-New-Roman" w:cs="Times-New-Roman"/>
              </w:rPr>
              <w:t>Test(</w:t>
            </w:r>
            <w:proofErr w:type="gramEnd"/>
            <w:r w:rsidR="00A644EC">
              <w:rPr>
                <w:rFonts w:ascii="Times-New-Roman" w:hAnsi="Times-New-Roman" w:cs="Times-New-Roman"/>
              </w:rPr>
              <w:t>Maurer))-informacije se odnose na glavnu komponentu.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A1B5A" w:rsidRDefault="007A1B5A" w:rsidP="007A1B5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NOAEL(oralno, pacov): 2 000 mg/kg/dan. </w:t>
            </w:r>
          </w:p>
          <w:p w:rsidR="005252C9" w:rsidRPr="00A4469C" w:rsidRDefault="007A1B5A" w:rsidP="00EC69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Hronična toksi</w:t>
            </w:r>
            <w:r w:rsidR="00EC6964">
              <w:rPr>
                <w:rFonts w:ascii="Times-New-Roman,Bold" w:hAnsi="Times-New-Roman,Bold" w:cs="Times-New-Roman,Bold"/>
                <w:bCs/>
                <w:lang w:val="de-DE"/>
              </w:rPr>
              <w:t>kološka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 studija</w:t>
            </w:r>
            <w:r w:rsidR="00EC6964">
              <w:rPr>
                <w:rFonts w:ascii="Times-New-Roman,Bold" w:hAnsi="Times-New-Roman,Bold" w:cs="Times-New-Roman,Bold"/>
                <w:bCs/>
                <w:lang w:val="de-DE"/>
              </w:rPr>
              <w:t xml:space="preserve"> 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(2 godine)-</w:t>
            </w:r>
            <w:r>
              <w:rPr>
                <w:rFonts w:ascii="Times-New-Roman" w:hAnsi="Times-New-Roman" w:cs="Times-New-Roman"/>
              </w:rPr>
              <w:t xml:space="preserve"> informacije se odnose na glavnu komponentu.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A644EC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A1B5A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</w:tbl>
    <w:p w:rsidR="007A1B5A" w:rsidRPr="002C21D4" w:rsidRDefault="007A1B5A" w:rsidP="007A1B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C-EC)</w:t>
      </w:r>
    </w:p>
    <w:p w:rsidR="00DE3458" w:rsidRPr="002C21D4" w:rsidRDefault="00DE3458" w:rsidP="00DE345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A1B5A" w:rsidRDefault="007A1B5A" w:rsidP="007A1B5A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5252C9" w:rsidTr="007A1B5A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lastRenderedPageBreak/>
              <w:t>Toksičnost  po reprodukciju: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A644EC" w:rsidP="00A644E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Nisu poznate indikacije za ljudsku genotoksičnost –</w:t>
            </w:r>
            <w:r>
              <w:rPr>
                <w:rFonts w:ascii="Times-New-Roman" w:hAnsi="Times-New-Roman" w:cs="Times-New-Roman"/>
              </w:rPr>
              <w:t xml:space="preserve"> informacije se odnose na glavnu komponentu.</w:t>
            </w:r>
          </w:p>
        </w:tc>
      </w:tr>
      <w:tr w:rsidR="005252C9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A1B5A" w:rsidTr="00EC6964">
        <w:trPr>
          <w:trHeight w:val="873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7A1B5A" w:rsidRPr="00A4469C" w:rsidRDefault="007A1B5A" w:rsidP="007A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proofErr w:type="gramStart"/>
            <w:r>
              <w:rPr>
                <w:rFonts w:ascii="Times-New-Roman" w:hAnsi="Times-New-Roman" w:cs="Times-New-Roman"/>
                <w:i/>
              </w:rPr>
              <w:t>RDA(</w:t>
            </w:r>
            <w:proofErr w:type="gramEnd"/>
            <w:r>
              <w:rPr>
                <w:rFonts w:ascii="Times-New-Roman" w:hAnsi="Times-New-Roman" w:cs="Times-New-Roman"/>
                <w:i/>
              </w:rPr>
              <w:t>preporučeni dnevni unos), 60 mg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–</w:t>
            </w:r>
            <w:r>
              <w:rPr>
                <w:rFonts w:ascii="Times-New-Roman" w:hAnsi="Times-New-Roman" w:cs="Times-New-Roman"/>
              </w:rPr>
              <w:t xml:space="preserve"> informacije se odnose na glavnu komponentu.</w:t>
            </w:r>
          </w:p>
          <w:p w:rsidR="007A1B5A" w:rsidRPr="00A4469C" w:rsidRDefault="007A1B5A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Oralni unos do 9 g askorbinske kiseline dnevno ne izaziva ozbiljne toksične efekte. Međutim dijareja se može pojaviti i pri manjim dozama.</w:t>
            </w:r>
          </w:p>
        </w:tc>
      </w:tr>
      <w:tr w:rsidR="006812B4" w:rsidTr="00010AF9">
        <w:trPr>
          <w:trHeight w:val="50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7A1B5A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B1D2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F9" w:rsidRPr="00010AF9" w:rsidRDefault="00F44D19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F44D19" w:rsidP="00C455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10AF9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F9" w:rsidRPr="00A4469C" w:rsidRDefault="00010AF9" w:rsidP="007A1B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 xml:space="preserve">Toksičnost za </w:t>
            </w:r>
            <w:r w:rsidR="007A1B5A">
              <w:rPr>
                <w:rFonts w:ascii="Times-New-Roman" w:hAnsi="Times-New-Roman" w:cs="Times-New-Roman"/>
                <w:i/>
                <w:lang w:val="de-DE"/>
              </w:rPr>
              <w:t>ribe</w:t>
            </w:r>
            <w:r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Default="007A1B5A" w:rsidP="007A1B5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</w:t>
            </w:r>
            <w:r w:rsidR="00010AF9">
              <w:rPr>
                <w:rFonts w:ascii="Times-New-Roman" w:hAnsi="Times-New-Roman" w:cs="Times-New-Roman"/>
                <w:lang w:val="de-DE"/>
              </w:rPr>
              <w:t>C50(</w:t>
            </w:r>
            <w:r>
              <w:rPr>
                <w:rFonts w:ascii="Times-New-Roman" w:hAnsi="Times-New-Roman" w:cs="Times-New-Roman"/>
                <w:lang w:val="de-DE"/>
              </w:rPr>
              <w:t>96</w:t>
            </w:r>
            <w:r w:rsidR="00010AF9">
              <w:rPr>
                <w:rFonts w:ascii="Times-New-Roman" w:hAnsi="Times-New-Roman" w:cs="Times-New-Roman"/>
                <w:lang w:val="de-DE"/>
              </w:rPr>
              <w:t xml:space="preserve">h) </w:t>
            </w:r>
            <w:r>
              <w:rPr>
                <w:rFonts w:ascii="Times New Roman" w:hAnsi="Times New Roman" w:cs="Times New Roman"/>
                <w:lang w:val="de-DE"/>
              </w:rPr>
              <w:t xml:space="preserve">1 020 mg/l </w:t>
            </w:r>
            <w:r w:rsidR="00010AF9">
              <w:rPr>
                <w:rFonts w:ascii="Times New Roman" w:hAnsi="Times New Roman" w:cs="Times New Roman"/>
                <w:lang w:val="de-DE"/>
              </w:rPr>
              <w:t>(</w:t>
            </w:r>
            <w:r>
              <w:rPr>
                <w:rFonts w:ascii="Times New Roman" w:hAnsi="Times New Roman" w:cs="Times New Roman"/>
                <w:lang w:val="de-DE"/>
              </w:rPr>
              <w:t>Oncorhynchus mykiss</w:t>
            </w:r>
            <w:r w:rsidR="00010AF9">
              <w:rPr>
                <w:rFonts w:ascii="Times New Roman" w:hAnsi="Times New Roman" w:cs="Times New Roman"/>
                <w:lang w:val="de-DE"/>
              </w:rPr>
              <w:t>)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 –</w:t>
            </w:r>
            <w:r>
              <w:rPr>
                <w:rFonts w:ascii="Times-New-Roman" w:hAnsi="Times-New-Roman" w:cs="Times-New-Roman"/>
              </w:rPr>
              <w:t xml:space="preserve"> informacije se odnose na glavnu komponentu.(OECD Test Guideline 203)</w:t>
            </w:r>
          </w:p>
        </w:tc>
      </w:tr>
      <w:tr w:rsidR="00F44D19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B32475" w:rsidP="007106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Test izveden na sličnom proizvodu</w:t>
            </w:r>
          </w:p>
        </w:tc>
      </w:tr>
      <w:tr w:rsidR="00F44D19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44D19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7A1B5A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E68A5" w:rsidTr="007A1B5A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A1B5A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Default="007A1B5A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Kompletno dobro</w:t>
            </w:r>
            <w:r w:rsidR="00B32475">
              <w:rPr>
                <w:rFonts w:ascii="Times-New-Roman" w:hAnsi="Times-New-Roman" w:cs="Times-New-Roman"/>
                <w:lang w:val="de-DE"/>
              </w:rPr>
              <w:t xml:space="preserve"> b</w:t>
            </w:r>
            <w:r w:rsidR="007106DC">
              <w:rPr>
                <w:rFonts w:ascii="Times-New-Roman" w:hAnsi="Times-New-Roman" w:cs="Times-New-Roman"/>
                <w:lang w:val="de-DE"/>
              </w:rPr>
              <w:t>iorazgradljiv proizvod</w:t>
            </w:r>
            <w:r w:rsidR="001B1D22">
              <w:rPr>
                <w:rFonts w:ascii="Times-New-Roman" w:hAnsi="Times-New-Roman" w:cs="Times-New-Roman"/>
                <w:lang w:val="de-DE"/>
              </w:rPr>
              <w:t>.</w:t>
            </w:r>
          </w:p>
          <w:p w:rsidR="00B32475" w:rsidRDefault="007A1B5A" w:rsidP="00B32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100% (15 dana)</w:t>
            </w:r>
          </w:p>
          <w:p w:rsidR="007A1B5A" w:rsidRDefault="007A1B5A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97% (5 dana)</w:t>
            </w:r>
          </w:p>
          <w:p w:rsidR="007A1B5A" w:rsidRPr="00A4469C" w:rsidRDefault="007A1B5A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(</w:t>
            </w:r>
            <w:r>
              <w:rPr>
                <w:rFonts w:ascii="Times-New-Roman" w:hAnsi="Times-New-Roman" w:cs="Times-New-Roman"/>
              </w:rPr>
              <w:t>OECD Test Guideline 302B)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 –</w:t>
            </w:r>
            <w:r>
              <w:rPr>
                <w:rFonts w:ascii="Times-New-Roman" w:hAnsi="Times-New-Roman" w:cs="Times-New-Roman"/>
              </w:rPr>
              <w:t xml:space="preserve"> informacije se odnose na glavnu komponentu.</w:t>
            </w:r>
          </w:p>
        </w:tc>
      </w:tr>
      <w:tr w:rsidR="006E68A5" w:rsidTr="007A1B5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A1B5A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A1B5A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B3247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B32475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B32475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B3247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A1B5A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B32475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B32475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A1B5A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7A1B5A" w:rsidRPr="002C21D4" w:rsidRDefault="007A1B5A" w:rsidP="007A1B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C-EC)</w:t>
      </w:r>
    </w:p>
    <w:p w:rsidR="00DE3458" w:rsidRPr="002C21D4" w:rsidRDefault="00DE3458" w:rsidP="00DE345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A1B5A" w:rsidRDefault="007A1B5A" w:rsidP="007A1B5A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6E68A5" w:rsidTr="007A1B5A">
        <w:trPr>
          <w:trHeight w:val="8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Poremećaj rada endokrinog sistema:</w:t>
            </w:r>
          </w:p>
        </w:tc>
        <w:tc>
          <w:tcPr>
            <w:tcW w:w="61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DE345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B32475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B3247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7A1B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Ponuditi ostatke i nereciklirajuće rastvore licenciranim firmama koje se bave odlaganjem otpada. </w:t>
            </w:r>
          </w:p>
        </w:tc>
      </w:tr>
      <w:tr w:rsidR="0041337C" w:rsidTr="00B32475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DE3458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A008D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DE3458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B3247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B32475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4A008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4A008D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FB55DE">
        <w:trPr>
          <w:trHeight w:val="1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DE3458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B32475" w:rsidP="00DE345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Obeležavanje </w:t>
            </w:r>
            <w:r w:rsidR="0041337C">
              <w:rPr>
                <w:rFonts w:ascii="Times-New-Roman,Bold" w:hAnsi="Times-New-Roman,Bold" w:cs="Times-New-Roman,Bold"/>
                <w:b/>
                <w:bCs/>
              </w:rPr>
              <w:t xml:space="preserve">prema EC Direktivi </w:t>
            </w:r>
            <w:r w:rsidR="00DE3458">
              <w:rPr>
                <w:rFonts w:ascii="Times-New-Roman,Bold" w:hAnsi="Times-New-Roman,Bold" w:cs="Times-New-Roman,Bold"/>
                <w:b/>
                <w:bCs/>
              </w:rPr>
              <w:t>1999/45/EC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4A008D" w:rsidRDefault="004A008D" w:rsidP="00DE345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Proizvod se ne mora obeležavati prema EC direktivama ili važećim zakonskim regulativama.</w:t>
            </w: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B32475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  <w:r w:rsidR="00DE345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4A008D" w:rsidP="00FF4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6184E" w:rsidRDefault="00FF4EF8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337C">
              <w:rPr>
                <w:sz w:val="23"/>
                <w:szCs w:val="23"/>
              </w:rPr>
              <w:t xml:space="preserve"> </w:t>
            </w:r>
          </w:p>
        </w:tc>
      </w:tr>
      <w:tr w:rsidR="0041337C" w:rsidTr="004A008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DE345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4A008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4EF8" w:rsidRPr="00FF4EF8" w:rsidRDefault="004A008D" w:rsidP="00FF4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F4EF8" w:rsidRPr="00FF4EF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008D" w:rsidRPr="002C21D4" w:rsidRDefault="004A008D" w:rsidP="004A00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C-EC)</w:t>
      </w:r>
    </w:p>
    <w:p w:rsidR="00DE3458" w:rsidRPr="002C21D4" w:rsidRDefault="00DE3458" w:rsidP="00DE345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A008D" w:rsidRDefault="004A008D" w:rsidP="004A008D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C7566B" w:rsidTr="004A008D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lastRenderedPageBreak/>
              <w:t>- Značenje oznaka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FF4EF8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41337C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FF4EF8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106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DE3458" w:rsidTr="008A71DA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E3458" w:rsidRDefault="00DE3458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06DC" w:rsidRDefault="007106D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A008D" w:rsidRDefault="004A008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F787D" w:rsidRDefault="009F787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97584" w:rsidRPr="002C21D4" w:rsidRDefault="00097584" w:rsidP="000975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C-EC)</w:t>
      </w:r>
    </w:p>
    <w:p w:rsidR="00DE3458" w:rsidRPr="002C21D4" w:rsidRDefault="00DE3458" w:rsidP="00DE345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FF4EF8">
        <w:rPr>
          <w:rFonts w:ascii="Times New Roman" w:hAnsi="Times New Roman" w:cs="Times New Roman"/>
        </w:rPr>
        <w:t>8/8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18" w:rsidRDefault="00854C18" w:rsidP="005E0553">
      <w:pPr>
        <w:spacing w:after="0" w:line="240" w:lineRule="auto"/>
      </w:pPr>
      <w:r>
        <w:separator/>
      </w:r>
    </w:p>
  </w:endnote>
  <w:endnote w:type="continuationSeparator" w:id="0">
    <w:p w:rsidR="00854C18" w:rsidRDefault="00854C1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18" w:rsidRDefault="00854C18" w:rsidP="005E0553">
      <w:pPr>
        <w:spacing w:after="0" w:line="240" w:lineRule="auto"/>
      </w:pPr>
      <w:r>
        <w:separator/>
      </w:r>
    </w:p>
  </w:footnote>
  <w:footnote w:type="continuationSeparator" w:id="0">
    <w:p w:rsidR="00854C18" w:rsidRDefault="00854C1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64" w:rsidRDefault="00EC6964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C6964" w:rsidRPr="00D23B93" w:rsidRDefault="00EC6964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F9"/>
    <w:rsid w:val="00011E63"/>
    <w:rsid w:val="0002750E"/>
    <w:rsid w:val="00044054"/>
    <w:rsid w:val="0004713E"/>
    <w:rsid w:val="00054A79"/>
    <w:rsid w:val="00067DCF"/>
    <w:rsid w:val="0007476B"/>
    <w:rsid w:val="00074FD9"/>
    <w:rsid w:val="00085431"/>
    <w:rsid w:val="000912B6"/>
    <w:rsid w:val="00096130"/>
    <w:rsid w:val="00097584"/>
    <w:rsid w:val="000B0607"/>
    <w:rsid w:val="000E3E04"/>
    <w:rsid w:val="000F2585"/>
    <w:rsid w:val="00117B76"/>
    <w:rsid w:val="001217D2"/>
    <w:rsid w:val="0012537F"/>
    <w:rsid w:val="001472BC"/>
    <w:rsid w:val="00147F3F"/>
    <w:rsid w:val="00152071"/>
    <w:rsid w:val="001B1D22"/>
    <w:rsid w:val="001E1320"/>
    <w:rsid w:val="001F4CB2"/>
    <w:rsid w:val="002052E7"/>
    <w:rsid w:val="00234156"/>
    <w:rsid w:val="00264501"/>
    <w:rsid w:val="00266788"/>
    <w:rsid w:val="002739FC"/>
    <w:rsid w:val="00282AEC"/>
    <w:rsid w:val="002866E7"/>
    <w:rsid w:val="0028690C"/>
    <w:rsid w:val="002A36C3"/>
    <w:rsid w:val="002B13B9"/>
    <w:rsid w:val="002C1ECB"/>
    <w:rsid w:val="002C21D4"/>
    <w:rsid w:val="002C3059"/>
    <w:rsid w:val="002C36FB"/>
    <w:rsid w:val="002C7808"/>
    <w:rsid w:val="002F2A58"/>
    <w:rsid w:val="0032758A"/>
    <w:rsid w:val="00335A8D"/>
    <w:rsid w:val="00351689"/>
    <w:rsid w:val="00351E80"/>
    <w:rsid w:val="00356F05"/>
    <w:rsid w:val="0038518E"/>
    <w:rsid w:val="00394137"/>
    <w:rsid w:val="0039538E"/>
    <w:rsid w:val="003B3B37"/>
    <w:rsid w:val="003F131A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4A008D"/>
    <w:rsid w:val="004C7BA4"/>
    <w:rsid w:val="00505DE2"/>
    <w:rsid w:val="005148B0"/>
    <w:rsid w:val="005252C9"/>
    <w:rsid w:val="00536A1D"/>
    <w:rsid w:val="005377C2"/>
    <w:rsid w:val="005979D5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351DF"/>
    <w:rsid w:val="0063635E"/>
    <w:rsid w:val="0065445E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E68A5"/>
    <w:rsid w:val="006F2F8B"/>
    <w:rsid w:val="006F43A9"/>
    <w:rsid w:val="006F5E0F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A1B5A"/>
    <w:rsid w:val="007D59BC"/>
    <w:rsid w:val="007D61B6"/>
    <w:rsid w:val="007E419C"/>
    <w:rsid w:val="007E53B6"/>
    <w:rsid w:val="007E59D4"/>
    <w:rsid w:val="00811949"/>
    <w:rsid w:val="00813673"/>
    <w:rsid w:val="008151FC"/>
    <w:rsid w:val="00824C25"/>
    <w:rsid w:val="008302DE"/>
    <w:rsid w:val="00831D13"/>
    <w:rsid w:val="008446FC"/>
    <w:rsid w:val="00851214"/>
    <w:rsid w:val="00854C18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8E5FE5"/>
    <w:rsid w:val="008F539A"/>
    <w:rsid w:val="00902FC3"/>
    <w:rsid w:val="00914E90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C50E8"/>
    <w:rsid w:val="009F787D"/>
    <w:rsid w:val="00A00327"/>
    <w:rsid w:val="00A047EF"/>
    <w:rsid w:val="00A123E5"/>
    <w:rsid w:val="00A172B7"/>
    <w:rsid w:val="00A25630"/>
    <w:rsid w:val="00A3582C"/>
    <w:rsid w:val="00A35FBB"/>
    <w:rsid w:val="00A3622A"/>
    <w:rsid w:val="00A508F7"/>
    <w:rsid w:val="00A549CF"/>
    <w:rsid w:val="00A644EC"/>
    <w:rsid w:val="00A84B29"/>
    <w:rsid w:val="00A862CD"/>
    <w:rsid w:val="00AA3320"/>
    <w:rsid w:val="00AA3358"/>
    <w:rsid w:val="00AA6F57"/>
    <w:rsid w:val="00AB4E3D"/>
    <w:rsid w:val="00AD7EC8"/>
    <w:rsid w:val="00B12957"/>
    <w:rsid w:val="00B32475"/>
    <w:rsid w:val="00B50CEA"/>
    <w:rsid w:val="00B60E28"/>
    <w:rsid w:val="00B924FE"/>
    <w:rsid w:val="00BC22EF"/>
    <w:rsid w:val="00BD7869"/>
    <w:rsid w:val="00BE2459"/>
    <w:rsid w:val="00C00128"/>
    <w:rsid w:val="00C2169A"/>
    <w:rsid w:val="00C3539A"/>
    <w:rsid w:val="00C44762"/>
    <w:rsid w:val="00C455CC"/>
    <w:rsid w:val="00C464FB"/>
    <w:rsid w:val="00C54609"/>
    <w:rsid w:val="00C57663"/>
    <w:rsid w:val="00C656DC"/>
    <w:rsid w:val="00C72846"/>
    <w:rsid w:val="00C7566B"/>
    <w:rsid w:val="00C979C4"/>
    <w:rsid w:val="00CB461D"/>
    <w:rsid w:val="00CB4F51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92D76"/>
    <w:rsid w:val="00DA295D"/>
    <w:rsid w:val="00DC08B6"/>
    <w:rsid w:val="00DC46A9"/>
    <w:rsid w:val="00DC4F00"/>
    <w:rsid w:val="00DE3458"/>
    <w:rsid w:val="00DE34B9"/>
    <w:rsid w:val="00E13312"/>
    <w:rsid w:val="00E21BDC"/>
    <w:rsid w:val="00E34D54"/>
    <w:rsid w:val="00E5128F"/>
    <w:rsid w:val="00E6164F"/>
    <w:rsid w:val="00E6184E"/>
    <w:rsid w:val="00E747D7"/>
    <w:rsid w:val="00E87E5D"/>
    <w:rsid w:val="00E917B2"/>
    <w:rsid w:val="00E936CC"/>
    <w:rsid w:val="00EA31F3"/>
    <w:rsid w:val="00EC2B94"/>
    <w:rsid w:val="00EC607C"/>
    <w:rsid w:val="00EC6964"/>
    <w:rsid w:val="00ED030C"/>
    <w:rsid w:val="00ED42CE"/>
    <w:rsid w:val="00EE1F05"/>
    <w:rsid w:val="00EF3E95"/>
    <w:rsid w:val="00EF58BD"/>
    <w:rsid w:val="00F103C0"/>
    <w:rsid w:val="00F21701"/>
    <w:rsid w:val="00F41802"/>
    <w:rsid w:val="00F44D19"/>
    <w:rsid w:val="00F4586F"/>
    <w:rsid w:val="00F63302"/>
    <w:rsid w:val="00F65A6A"/>
    <w:rsid w:val="00F87B4D"/>
    <w:rsid w:val="00F92024"/>
    <w:rsid w:val="00FA3ED0"/>
    <w:rsid w:val="00FB55DE"/>
    <w:rsid w:val="00FC3855"/>
    <w:rsid w:val="00FC4D1B"/>
    <w:rsid w:val="00FD39FE"/>
    <w:rsid w:val="00FD4FC3"/>
    <w:rsid w:val="00FD78B7"/>
    <w:rsid w:val="00FE4312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0447-097D-4CCC-B003-FF3FB73D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12</cp:revision>
  <dcterms:created xsi:type="dcterms:W3CDTF">2012-12-10T07:11:00Z</dcterms:created>
  <dcterms:modified xsi:type="dcterms:W3CDTF">2013-01-23T12:30:00Z</dcterms:modified>
</cp:coreProperties>
</file>